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PT Astra Serif" w:hAnsi="PT Astra Serif" w:cs="PT Astra Serif"/>
          <w:b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  <w:t xml:space="preserve">«Эффективные методы и приемы подготовки студентов по специальности 15.02.14 «Оснащение средствами автоматизации технологических процессов и производств (по отраслям)» к демонстрационному экзамену»</w:t>
      </w: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</w:r>
    </w:p>
    <w:p>
      <w:pPr>
        <w:jc w:val="both"/>
        <w:spacing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u w:val="single"/>
        </w:rPr>
        <w:t xml:space="preserve">Аннотация: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статье обобщен педагогический опыт подготовки выпускников Техникума к демонстрационному экзамену по специальности                                </w:t>
      </w:r>
      <w:r>
        <w:rPr>
          <w:rFonts w:ascii="PT Astra Serif" w:hAnsi="PT Astra Serif" w:eastAsia="PT Astra Serif" w:cs="PT Astra Serif"/>
          <w:i w:val="0"/>
          <w:iCs w:val="0"/>
          <w:sz w:val="28"/>
          <w:szCs w:val="28"/>
        </w:rPr>
        <w:t xml:space="preserve">15.02.14 «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Оснащение средствами автоматизации технологических процессов и производств (по отраслям)»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Рассмотрены актуальные методы и приемы, направленные на формирование профессиональных компетенций в области программирования программируемых реле, сбор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ки электрических схем, настройки КИПиА и диагностики неисправностей. Особое внимание уделено интеграции цифровых симуляторов, кейс-технологий и психологической подготовки обучающихся в условиях реализации образовательной программы.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spacing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u w:val="single"/>
        </w:rPr>
        <w:t xml:space="preserve">Ключевые слова: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демонстрационный экзамен, СПО, автоматизация технологических процессов, ПЛР, АСУ ТП, кейс-метод, профессиональные компетенции, формирующее оценивание.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современной системе среднего профессионального образования демонстрационный экзамен стал не просто формой итоговой аттестации, а мощным инструментом независимой оценки качества подготовки выпускников. Для специальности 15.02.14 «Оснащение средствами автом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атизации технологических процессов и производств (по отраслям)» этот экзамен представляет собой особый вызов. Он требует от студента комплексного применения знаний в области электротехники, пневмо- и гидропривода, программирования реле (ПЛР), настро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йки SCADA-систем и строгого соблюдения норм и требований охраны труда.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Как педагог первой квалификационной категории, я столкнулась с необходимостью поиска таких методов обучения, которые не только обеспечат успешное прохождение экзамена, но и сформируют у будущего техника устойчивые профессиональные навыки, востребованные на 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еальном живом рынке труда. Статьей предлагается системный подход к подготовке студентов, апробированный в учебном процессе.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Подготовка к демонстрационному экзамену не должна быть хаотичной и быть нацеленной на «натаскивание» на выполнение заданий. Это планомерный процесс, который я разделяю на четыре взаимосвязанных этапа, каждый из которых опирается на конкретные педагогические приемы.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PT Astra Serif" w:hAnsi="PT Astra Serif" w:cs="PT Astra Serif"/>
          <w:b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  <w:t xml:space="preserve">1. Диагностико-мотивационный этап</w:t>
      </w: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 начальном этапе подготовки, необходимо выявить «пробелы» в знаниях и сформировать внутреннюю мотивацию.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21"/>
        <w:numPr>
          <w:ilvl w:val="0"/>
          <w:numId w:val="1"/>
        </w:numPr>
        <w:ind w:left="0" w:right="0" w:firstLine="709"/>
        <w:jc w:val="both"/>
        <w:spacing w:after="0" w:afterAutospacing="0" w:line="360" w:lineRule="auto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Прием «Входной срез компетенций»: Студентам предлагается упрощенный вариант экзаменационного кейса. Результаты не идут в зачет, но позволяют составить индивидуальную траекторию подготовки для каждого обучающегося.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21"/>
        <w:numPr>
          <w:ilvl w:val="0"/>
          <w:numId w:val="1"/>
        </w:numPr>
        <w:ind w:left="0" w:right="0" w:firstLine="709"/>
        <w:jc w:val="both"/>
        <w:spacing w:after="0" w:afterAutospacing="0" w:line="360" w:lineRule="auto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Прием «Профессиональная проба»: Организация экскурсий на предприятия-партнеры или встречи с молодыми специалистами, которые уже прошли подобную аттестацию. Это снимает страх перед неизвестностью и формирует позитивный образ успешного выпускника.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PT Astra Serif" w:hAnsi="PT Astra Serif" w:cs="PT Astra Serif"/>
          <w:b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  <w:t xml:space="preserve">2. Технологический этап (Формирование «жестких» и «мягких» навыков)</w:t>
      </w: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Это основной этап, где применяются специфические методы обучения, адаптированные под специфику профиля подготовки.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21"/>
        <w:numPr>
          <w:ilvl w:val="0"/>
          <w:numId w:val="3"/>
        </w:numPr>
        <w:ind w:left="0" w:right="0" w:firstLine="709"/>
        <w:jc w:val="both"/>
        <w:spacing w:after="0" w:afterAutospacing="0" w:line="360" w:lineRule="auto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Модульно-компетентностный подход. Экзаменационное задание разбивается на модули: 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right="0" w:firstLine="709"/>
        <w:jc w:val="both"/>
        <w:spacing w:after="0" w:afterAutospacing="0" w:line="360" w:lineRule="auto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Монтаж и подключение датчиков контроля параметров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технологического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процесса, в том числе составление схемы подключения.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right="0" w:firstLine="709"/>
        <w:jc w:val="both"/>
        <w:spacing w:after="0" w:afterAutospacing="0" w:line="360" w:lineRule="auto"/>
        <w:tabs>
          <w:tab w:val="left" w:pos="992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Разработка схемы комбинированной функциональной автоматизации технологического процесса, согласно когда ДЭ. Составление таблицы сигналов.</w:t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right="0" w:firstLine="709"/>
        <w:jc w:val="both"/>
        <w:spacing w:after="0" w:afterAutospacing="0" w:line="360" w:lineRule="auto"/>
        <w:tabs>
          <w:tab w:val="left" w:pos="992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Программирование ПЛР ОВЕН ПР-200. Подключение датчика давления к реле, для передачи данных в систему мониторинга.</w:t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right="0" w:firstLine="709"/>
        <w:jc w:val="both"/>
        <w:spacing w:after="0" w:afterAutospacing="0" w:line="360" w:lineRule="auto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Оснащение средствами автоматизации и настройка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SCADA-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системы для отображения данных о технологическом процессе, в том числе с подключением интерфейса передачи данных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RS-485 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в систему визуализации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TRACE MODE 6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.</w:t>
      </w:r>
      <w:r/>
    </w:p>
    <w:p>
      <w:pPr>
        <w:pStyle w:val="621"/>
        <w:numPr>
          <w:ilvl w:val="0"/>
          <w:numId w:val="5"/>
        </w:numPr>
        <w:ind w:left="0" w:right="0" w:firstLine="709"/>
        <w:jc w:val="both"/>
        <w:spacing w:after="0" w:afterAutospacing="0" w:line="360" w:lineRule="auto"/>
        <w:tabs>
          <w:tab w:val="left" w:pos="992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Метод «Преднамеренной ошибки» (Troubleshooting). Один из самых эффективных приемов для будущих специалистов. Преподаватель, на созданной виртуальной модели задает заведомо неверные компоненты или привязки (обрыв цепи, неверный адрес в ПЛР, неправильная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алибровка датчика, неверный тип передаваемых данных и т.д.). Задача студента – используя программное обеспечение и техническую документацию, найти и устранить дефект за ограниченное время. Это развивает инженерное мышление и навыки диагностики.</w:t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numPr>
          <w:ilvl w:val="0"/>
          <w:numId w:val="5"/>
        </w:numPr>
        <w:ind w:left="0" w:right="0" w:firstLine="709"/>
        <w:jc w:val="both"/>
        <w:spacing w:after="0" w:afterAutospacing="0" w:line="360" w:lineRule="auto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Технология «Взаимообучения» (Peer-to-peer). Создание смешанных команд, где сильный студент выступает в роли наставника для менее подготовленного. При этом «наставник» развивает коммуникативные навыки и глубже закрепляет материал (объясняя его), а «ученик»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олучает помощь на понятном ему языке.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09"/>
        <w:jc w:val="both"/>
        <w:spacing w:after="0" w:afterAutospacing="0" w:line="360" w:lineRule="auto"/>
        <w:rPr>
          <w:rFonts w:ascii="PT Astra Serif" w:hAnsi="PT Astra Serif" w:cs="PT Astra Serif"/>
          <w:b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  <w:t xml:space="preserve">3. Этап имитационного моделирования (Стресс-тест)</w:t>
      </w: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несколько недель до экзамена условия учебной деятельности максимально приближаются к реальным экзаменационным.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21"/>
        <w:numPr>
          <w:ilvl w:val="0"/>
          <w:numId w:val="6"/>
        </w:numPr>
        <w:ind w:left="0" w:right="0" w:firstLine="709"/>
        <w:jc w:val="both"/>
        <w:spacing w:after="0" w:afterAutospacing="0" w:line="360" w:lineRule="auto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Проведение «Пробных демонстрационных экзаменов». Задания выполняются в строгом соответствии с таймингом, оценочной ведомостью и требованиями безопасности. Обязательно ведется видеофиксация процесса, как того требует регламент.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21"/>
        <w:numPr>
          <w:ilvl w:val="0"/>
          <w:numId w:val="6"/>
        </w:numPr>
        <w:ind w:left="0" w:right="0" w:firstLine="709"/>
        <w:jc w:val="both"/>
        <w:spacing w:after="0" w:afterAutospacing="0" w:line="360" w:lineRule="auto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Работа с оценочной ведомостью (Чек-листом). Студенты учатся самостоятельно оценивать свою работу до сдачи эксперту. Мы детально разбираем каждый критерий: от наличия схемы подключения, до сохранения рабочей версии программы. Понимание того, за что именно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снимаются баллы, значительно повышает качество выполнения работы.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PT Astra Serif" w:hAnsi="PT Astra Serif" w:cs="PT Astra Serif"/>
          <w:b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  <w:t xml:space="preserve">4. Этап психологической подготовки</w:t>
      </w: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Высокий уровень тревожности может свести на нет даже отличную техническую подготовку. Поэтому очень важно, с каким настроем идут на экзамен обучающиеся. Важной задачей является создание максимально комфортных эмоциональных условий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21"/>
        <w:numPr>
          <w:ilvl w:val="0"/>
          <w:numId w:val="8"/>
        </w:numPr>
        <w:ind w:left="0" w:right="0" w:firstLine="709"/>
        <w:jc w:val="both"/>
        <w:spacing w:after="0" w:afterAutospacing="0" w:line="360" w:lineRule="auto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Прием «Декомпозиция страха»: Обсуждение худшего сценария и путей его решения (например, «Что делать, если реле не видит датчик?»). Наличие четкого алгоритма действий при сбое снижает панику.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21"/>
        <w:numPr>
          <w:ilvl w:val="0"/>
          <w:numId w:val="8"/>
        </w:numPr>
        <w:ind w:left="0" w:right="0" w:firstLine="709"/>
        <w:jc w:val="both"/>
        <w:spacing w:after="0" w:afterAutospacing="0" w:line="360" w:lineRule="auto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Тренинг тайм-менеджмента: Обучение студентов правильному распределению времени (например, 20% времени закладывать на проверку себя и подготовку рабочего места к завершению работы, а не тратить все время на выполнение задания, чтобы потом не торопиться и ничего не забыть).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Реализация описанной системы подготовки позволяет достичь: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повышения среднего балла за демонстрационный экзамен по специальности,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снижения количества критических ошибок, связанных с нарушением техники безопасности или потерей данных,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формирования у студентов уверенности в своих силах и готовности к реальным производственным задачам.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Опыт 2026 года показывает, что ключ к успеху на демонстрационном экзамене лежит не в зубрежке типовых решений, а в развитии гибкого инженерного мышления, умения работать с технической документацией и холодной голове, в момент выполнения заданий. Все эти правила позволяют получить абсолютное качество при сдаче демонстрационного экзамена, что показали в мае 2026 году выпускники ЧПОУ «Газпром техникум Новый Уренгой» по специальности </w:t>
      </w:r>
      <w:r>
        <w:rPr>
          <w:rFonts w:ascii="PT Astra Serif" w:hAnsi="PT Astra Serif" w:eastAsia="PT Astra Serif" w:cs="PT Astra Serif"/>
          <w:i w:val="0"/>
          <w:iCs w:val="0"/>
          <w:sz w:val="28"/>
          <w:szCs w:val="28"/>
        </w:rPr>
        <w:t xml:space="preserve">15.02.14 «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Оснащение средствами автоматизации технологических процессов и производств (по отраслям)»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Дальнейшее совершенствование процесса подготовки видится в расширении сотрудничества с предприятиями отрасли для актуализации и совершенствования экзаменационных заданий.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firstLine="0"/>
        <w:rPr>
          <w:rFonts w:ascii="PT Astra Serif" w:hAnsi="PT Astra Serif" w:cs="PT Astra Serif"/>
          <w:b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  <w:t xml:space="preserve">Список литературы</w:t>
      </w: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</w:r>
    </w:p>
    <w:p>
      <w:pPr>
        <w:pStyle w:val="621"/>
        <w:numPr>
          <w:ilvl w:val="0"/>
          <w:numId w:val="10"/>
        </w:numPr>
        <w:ind w:left="0" w:right="0" w:firstLine="709"/>
        <w:jc w:val="both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15.02.14 «Оснащение средствами автоматизации технологических процессов и производств (по отраслям)».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21"/>
        <w:numPr>
          <w:ilvl w:val="0"/>
          <w:numId w:val="10"/>
        </w:numPr>
        <w:ind w:left="0" w:right="0" w:firstLine="709"/>
        <w:jc w:val="both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Комплект оценочной документации для проведения демонстрационного экзамена по специальности 15.02.14 </w:t>
      </w:r>
      <w:r>
        <w:rPr>
          <w:rFonts w:ascii="PT Astra Serif" w:hAnsi="PT Astra Serif" w:eastAsia="PT Astra Serif" w:cs="PT Astra Serif"/>
          <w:i w:val="0"/>
          <w:iCs w:val="0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Оснащение средствами автоматизации технологических процессов и производств (по отраслям)»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/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621"/>
        <w:numPr>
          <w:ilvl w:val="0"/>
          <w:numId w:val="10"/>
        </w:numPr>
        <w:ind w:left="0" w:right="0" w:firstLine="709"/>
        <w:jc w:val="both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Методические рекомендации по проведению демонстрационного экзамена по стандартам WorldSkills Russia / Агентство развития профессионального мастерства (Ворлдскиллс Россия). – М., 2025-2026.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21"/>
        <w:numPr>
          <w:ilvl w:val="0"/>
          <w:numId w:val="10"/>
        </w:numPr>
        <w:ind w:left="0" w:right="0" w:firstLine="709"/>
        <w:jc w:val="both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Зимняя И.А. Ключевые компетенции как результативно-целевая основа компетентностного подхода в образовании. – М.: Исследовательский центр проблем качества подготовки специалистов, 2024.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21"/>
        <w:numPr>
          <w:ilvl w:val="0"/>
          <w:numId w:val="10"/>
        </w:numPr>
        <w:ind w:left="0" w:right="0" w:firstLine="709"/>
        <w:jc w:val="both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Петров В.Н. Информационные системы и технологии в автоматизации: учебное пособие для СПО. – СПб.: БХВ-Петербург, 2025.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21"/>
        <w:numPr>
          <w:ilvl w:val="0"/>
          <w:numId w:val="10"/>
        </w:numPr>
        <w:ind w:left="0" w:right="0" w:firstLine="709"/>
        <w:jc w:val="both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Материалы научно-практических конференций по вопросам модернизации среднего профессионального образования в рамках федерального проекта «Профессионалитет».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0"/>
        <w:jc w:val="both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right="0"/>
        <w:jc w:val="right"/>
        <w:spacing w:after="0" w:afterAutospacing="0" w:line="360" w:lineRule="auto"/>
        <w:tabs>
          <w:tab w:val="left" w:pos="992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Преподаватель первой квалификационной категории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right="0"/>
        <w:jc w:val="right"/>
        <w:spacing w:after="0" w:afterAutospacing="0" w:line="360" w:lineRule="auto"/>
        <w:tabs>
          <w:tab w:val="left" w:pos="992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кафедры электротехнических специальностей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right="0"/>
        <w:jc w:val="right"/>
        <w:spacing w:after="0" w:afterAutospacing="0" w:line="360" w:lineRule="auto"/>
        <w:tabs>
          <w:tab w:val="left" w:pos="992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ЧПОУ «Газпром техникум Новый Уренгой»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right="0"/>
        <w:jc w:val="right"/>
        <w:spacing w:after="0" w:afterAutospacing="0" w:line="360" w:lineRule="auto"/>
        <w:tabs>
          <w:tab w:val="left" w:pos="99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Лаптева Валерия Алексеевна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2026-06-08T11:33:09Z</dcterms:modified>
</cp:coreProperties>
</file>