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УДК 37.012.3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white"/>
        </w:rPr>
        <w:t xml:space="preserve">ПРАКТИКО-ОРИЕНТИРОВАННЫЙ ПОДХОД В ОБУЧЕНИИ НА ПРИМЕРЕ МЕЖДИСЦИПЛИНАРНОГО КУРСА ПРОФЕССИОНАЛЬНОГО МОДУЛЯ ЭЛЕКТРОСНАБЖЕНИЕ ПРОМЫШЛЕННЫХ И ГРАЖДАНСКИХ ЗДАНИЙ: ОПЫТ И ПЕРСПЕКТИВЫ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PRACTICE-ORIENTED APPROACH IN ELECTRICAL SUPPLY EDUCATION USING THE EXAMPLE OF AN INTERDISCIPLINARY COURSE ELECTRIC POWER SUPPLY  FOR INDUSTRIAL AND CIVIL BUILDINGS: EXPERIENCES AND PERSPECTIVES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ЗАНИНА АНАСТАСИЯ ЮРЬЕВНА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преподаватель первой квалификационной категории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ЧПОУ «Газпром техникум Новый Уренгой»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ANASTASIA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YURIEVNA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ZANINA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is a teacher of the first qualification category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Private professional educational institution «Gazprom vocational school Novy Urengoy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В программах обучения электротехническим специальностям часто наблюдается разрыв между теоретическими знаниями и их практическим применением, что недостаточно подготавливает студентов к требованиям современного рынка труда. В данной статье рассматривается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разработка и реализация профессионального модуля, объединяющего концепции электротехники, проектирования зданий, информационных технологий и норм безопасности. Представлено описание конкретного модуля, с акцентом на педагогические стратегии, направленные 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а формирование практико-ориентированного обучения, включая проектные задания, симуляции и анализ реальных кейсов. В статье анализируется влияние междисциплинарного подхода на вовлеченность студентов, развитие навыков и готовность к профессиональной деятель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ности. Кроме того, обсуждаются проблемы, возникшие в процессе реализации, и предлагаются рекомендации для дальнейшего развития и более широкого внедрения подобных междисциплинарных моделей в профессиональном электротехническом образовании. Основные результ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аты показывают, что данный подход повышает способность студентов применять теоретические знания к решению практических задач, развивает навыки критического мышления и повышает уверенность в решении реальных задач электроснабжения.</w:t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There is often a </w:t>
      </w:r>
      <w:hyperlink r:id="rId9" w:tooltip="https://www.multitran.com/m.exe?s=discontinuity&amp;l1=1&amp;l2=2" w:history="1">
        <w:r>
          <w:rPr>
            <w:rStyle w:val="84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discontinuity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between theoretical knowledge and its practical application 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n electrical engineering programs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so it does not prepare students for the modern job market’s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demands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This article discusses the development and implementation of a professional module that combines the concepts of electrical engineering, building design, information technology, and safety regulations.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We present a case study of a specific module, highlighting the pedagogical strategies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aimed at developing practice-oriented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education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including project-based assignments, simulations, and analysis of real-life cases.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The article analyzes the impact of an interdisciplinary approach on students’ engagement, skill development, and readiness for professional activities. A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ddition, the article discusses the challenges encountered during the implementation process and provides recommendations for further development and broader adoption of such interdisciplinary models in professional electrical professional education.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The main results show that this approach enhances students' ability to apply theoretical knowledge to practical problems, it develops critical thinking skills and increases confidence in solving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real-world electrical supply challenges.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i/>
          <w:i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Ключевые слова: </w:t>
      </w: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</w:rPr>
        <w:t xml:space="preserve">еждисциплинарное образование, электроснабжение, профессиональное образование, практико-ориентированное обучение, промышленные здания, гражданские здания, проектное обучение, электротехника.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i/>
          <w:i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Keywords: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interdisciplinary education, electrical supply, professional education, practice-oriented education, industrial buildings, civil buildings, project-based learning, electrical engineering.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Введение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современных условиях развития экономики и промышленности возрастает потребность в квалифицированных специалистах в области электроснабжения. Особенно востребованы выпускники среднего профессионального образования (СПО), обладающие не только теоретическими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знаниями, но и практическими навыками, необходимыми для успешной работы на предприятиях и в организациях, занимающихся проектированием, монтажом и эксплуатацией систем электроснабжения промышленных и гражданских зданий.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диционные методы обучения, ориентированные на трансляцию теоретических знаний, зачастую оказываются недостаточными для формирования у студентов необходимых профессиональных компетенций. В связи с этим, актуальным становится внедрение практико-ориентированн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ого подхода в образовательный процесс, который позволяет студентам применять полученные знания на практике, развивать навыки решения реальных производственных задач и формировать профессиональное мышление.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Данная статья посвящена рассмотрению осо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бенностей реализации практико-ориентированного подхода на занятиях междисциплинарного курса, определение преимуществ и недостатков различных методов практико-ориентированного обучения, предлагаются конкретные рекомендации по их прим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енению и оценивается эффективность внедрения данного подхода в образовательный процесс.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1. Актуальность практико-ориентированного подхода в подготовке специалистов по электроснабжению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овременные системы электроснабжения промышленных и гражданских зданий представляют собой сложные комплексы, включающие в себя различные элементы: трансформаторные подстанции, распределительные устройства, кабельные и воздушные линии, электрооборудование,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истемы автоматизации и защиты. Для эффективной эксплуатации и обслуживания таких систем необходимо обладать не только теоретическими знаниями, но и практическими навыками, позволяющими: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"/>
        </w:numPr>
        <w:contextualSpacing/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проводить диагностику и выявлять неисправности электрооборудования;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выполнять монтаж, наладку и ремонт электрооборудования;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осуществлять оперативные переключения в электрических сетях.;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обеспечивать безопасную эксплуатацию электроустановок;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разрабатывать и реали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зовывать мероприятия по повышению энергоэффективности.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радиционные методы обучения, ориентированные на передачу теоретических знаний, зачастую не позволяют сформировать у студентов необходимые практические навыки. В результате, выпускники СПО, не имеющие достаточного опыта работы с реальным электрооборудование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м, испытывают трудности при трудоустройстве и адаптации на производстве.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Практико-ориентированный подход в обучении позволяет решить эту проблему, обеспечивая студентам возможность применять полученные знания на практике, развивать навыки решения реальных производственных задач и формировать профессиональное мышление.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Методы и инструменты реализации практико-ориентированного подхода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Для эффективной реализации практико-ориентированного подхода на занятиях по электроснабжению промышленных и гражданских зданий можно использовать различные методы и инструменты, такие как: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Решение практических задач и кейсов: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Студентам предлагаются задачи, моделирующие реальные ситуации, возникающие в процессе проектирования, монтажа и эксплуатации систем электроснабжения. Например, расчет электрических нагрузок для промышленного предприя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тия, выбор оборудования для распределительного устройства, разработка схемы электроснабжения жилого дома.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Выполнение лабораторных работ на реальном оборудовании: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Лабораторные работы должны быть максимально приближены к реальным условиям. Студенты должны иметь возможность работать с современным электрооборудованием, измерительными приборами и программным обе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спечением, используемым в отрасли. Например, проведение измерений параметров электрической сети, настройка устройств релейной защиты, проверка работы автоматических выключателей.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• Проектная деятельность: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Студенты разрабатывают проекты систем электроснабжения для конкретных объектов, таких, как промышленные предприятия, жилые комплексы, общественные здания. В процессе работы над проектом они должны учитывать требования нормативных д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окументов (СП, ПУЭ, ГОСТ и пр.), проводить необходимые расчеты, выбирать оборудование и разрабатывать техническую документацию.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Организация экскурсий на предприятия электроэнергетики и промышленные объекты: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Экскурсии позволяют студентам увидеть, как работают реальные системы электроснабжения, познакомиться с современными технологиями и оборудованием, а также пообщаться с опытными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специалистами.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Привлечение к проведению занятий специалистов-практиков: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Приглашение специалистов с предприятий электроэнергетики и промышленных объектов позволяет студентам получить актуальную информацию о современных тенденциях в отрасли, узнать о реальных проблемах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и задачах, стоящих перед специалистами, а также получить ценные советы и рекомендации.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Использование информационных технологий: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Современные информационные технологии, такие как программное обеспечение для проектирования систем электроснабжения (КОМПАС, NanoCAD, AutoCAD, EPLAN и прочие), системы автоматизированного проектирования (САПР), позволяют студентам моделир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овать и анализировать различные варианты электроснабжения, проводить расчеты и разрабатывать техническую документацию в электронном виде.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Участие в конкурсах профессионального мастерства: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Участие в конкурсах профессионального мастерства позволяет студентам продемонстрировать свои знания и навыки, сравнить свой уровень подготовки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t xml:space="preserve"> других студентами, 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также получить ценный опыт и признан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Организация стажировок на предприятиях: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Стажировки на предприятиях позволяют студентам получить практический опыт работы в реальных условиях, познакомиться с организацией производственного процесса, а также установить контакты с потенциальными работодат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елями.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Использование виртуальных лабораторий и тренажеров: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Виртуальные лаборатории и тренажеры позволяют студентам проводить эксперименты и отрабатывать навыки в безопасной и контролируемой среде. Это особенно полезно при изучении сложных и опасных процессов,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таких как работа с высоковольтным оборудованием, организация рабочего места при снятии напряжения и работе по наряду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 Преимущества и недостатки различных методов практико-ориентированного обучения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Каждый из перечисленных методов практико-ориентированного обучения имеет свои преимущества и недостатки.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Решение практических задач и кейсов: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2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развивает аналитическое мышление, навыки принятия решений, умение применять теоретические знания на практике;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2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требует разработки качественных задач и кейсов, отражающих реальные производственные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итуации.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Лабораторные работы и практические занятия: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озволяет студентам приобрести навыки работы с электрооборудованием, проводить измерения, анализировать результаты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ребует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наличия современного оборудования и материалов, соблюден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ия правил охраны труда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Проектная деятельность: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азвивает навыки самостоятельной работы, проектирования, разработки технической документации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реб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ует значительных затрат времени и ресурсов, наличия опытных руководителей проек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Экскурсии на предприятия: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6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озволяет студентам познакомиться с реальным производством, увидеть работу специалистов, получить представление о перспективах трудоустройства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6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реб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 и согласования с предприятиями, соблюд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ения правил охраны труда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Привлечение специалистов-практиков: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7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озволяет студентам получить информацию из первых рук, узнать о реальных проблемах и задачах, стоящих перед специалистами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7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ребует отрыва от работы и привлечения квалифицированных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пециалистов, разработки интересных и полезных для студентов тем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Использование информационных технологий: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8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озволяет студентам моделировать и анализировать системы электроснабжения, разрабатывать схемы и чертежи, проводить расчеты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8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ебует наличия современного программного обеспечения и компьютерной техники, обучения студентов работе с этими программами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Участие в конкурсах профессионального мастерства: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9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овышает мотивацию студентов к обучению, позволяет им продемонстрироват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 свои знания и навыки, соревноваться с другими студентами и специалистами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9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ебует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 и проведения конкурсов, подготовки студентов к участию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материальных затрат.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Стажировки на предприятиях: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0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озволяет студентам приобрести реальный производствен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ный опыт, работать под руководством опытных специалистов, адаптироваться к условиям работы на предприятии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0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ебует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 и согласования с предприятиями, обеспечения безопасности студентов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Виртуальные лаборатории и тренажеры: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1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преимущества: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озволяет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тудентам безопасно и эффективно осваивать навыки работы с электрооборудованием, проводить эксперименты и моделировать различные ситуации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1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недостатки: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ебует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приобретения и внедрения виртуальных лабораторий и тренажеров, обучения студентов работе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ними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4. Примеры реализации практико-ориентированного подхода в учебном процессе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Рассмотрим несколько конкретных примеров реализации практико-ориентированного подхода на занятиях по электроснабжению промышленных и гражданских зданий: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 • **Пример 1: Решение кейса описывающий ситуацию аварии на подстанции, вызванной, например, коротким замыканием в трансформаторе. Студенты должны проанализировать ситуацию, определить причины аварии, предложить меры по ее устранению и предотвращению подоб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ных ситуаций в будущем. В процессе решения кейса студенты должны использовать знания по электротехнике, релейной защите, электроснабжению и технике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 • **Пример 2: Лабораторная работа . Они должны научиться правильно подключать приборы, проводить измерения, анализировать полученные данные и делать выводы о состоянии электрической сети.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 • **Пример 3: Проект промышленного предприятия, включающий в себя расчет электрических нагрузок, выбор оборудования, разработку схемы электроснабжения, расчет заземления и молниезащиты, а также разработку технической документации. В процессе работы над пр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оектом студенты должны учитывать требования нормативных документов, использовать программное обеспечение для проектирования систем электроснабжения и консультироваться с преподавателями и специалистами-практиками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5. Проблемы и перспективы внедрения практико-ориентированного подхода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Внедрение практико-ориентированного подхода в обучение электроснабжению промышленных и гражданских зданий связано с рядом проблем, таких как: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Недостаточное финансирование: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Для приобретения современного оборудования, программного обеспечения и организации стажировок на предприятиях требуются значительные финансовые ресурсы.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• Проблема дефицита кадров: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Для эффективной реализации практико-ориентированного подхода необходимы преподаватели, обладающие не только теоретическими знаниями, но и практическим опытом работы в отрасли.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Сложность организации стажировок на предприятиях: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Не все предприятия готовы принимать студентов на стажировку, а организация стажировок требует значительных усилий со стороны образовательного учреждения, заключение договоров предприятий с образовательными организациями.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Недостаточная мотивация студентов: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Не все студенты осознают важность практического обучения и проявляют достаточную активность в учебном процессе.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Несмотря на существующие проблемы, перспективы внедрения практико-ориентированного подхода в обучение электроснабжению промышленных и гражданских зданий представляются весьма обнадеживающими. Для успешной реализации данного подхода необходимо: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Изменить подход к финансирование образовательных учреждений: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Необходимо выделять достаточно средств на приобретение современного оборудования, программного обеспечения и организацию стажировок на предприятиях.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Систематически повышать квалификацию преподавателей: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Необходимо организовывать курсы повышения квалификации для преподавателей, привлекать к проведению занятий специалистов-практиков и стимулировать преподавателей к участию в научно-практических конференциях и семинар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Развивать сотрудничество с предприятиями: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Необходимо налаживать партнерские отношения с предприятиями электроэнергетики и промышленными предприятиями, организовывать стажировки для студентов, привлекать специалистов предприятий к проведению занятий и 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зработке учебных программ.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Повышать мотивацию студентов: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Необходимо использовать активные методы обучения, привлекать студентов к участию в проектах и конкурсах, а также демонстрировать им связь между изучаемым материалом и будущей профессиональной деятельностью.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 • Актуализация документов: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Необходимо систематически актуализировать программы междисциплинарного курса, включая в него актуальные вопросы и новое оборудование.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6. Оценка эффективности внедрения практико-ориентированного подхода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Эффективность внедрения практико-ориентированного подхода в образовательный процесс может быть оценена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уровень сформированности у студентов профессиональных компетенций. Оценивается по результатам выполнения лабораторных работ, практических занятий, проектной деятельности, стажировок на предприятиях.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уровень трудоустройства выпускников по специальности. Оцени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вается по данным мониторинга трудоустройства выпускников.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уровень удовлетворенности работодателей качеством подготовки выпускников. Оценивается по результатам опросов работодателей.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уровень участия студентов в конкурсах профессионального мастерства и олимпиад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ах. Оценивается по количеству участников и занятым местам.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3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уровень удовлетворенности студентов качеством обучения. Оценивается по результатам опросов студентов.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Заключение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рактико-ориентированный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одход является эффективным инструментом повышения качества подготовки специалистов в области электроэнергетики. Внедрение данного подхода в образовательный процесс позволяет студентам приобрести не только теоретические знания, но и сформировать компетенции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необходимые для успешной работы на предприятиях и в организациях, занимающихся проектированием, монтажом и эксплуатацией систем электроснабжения промышленных и гражданских зданий.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ля эффективного внедрения практико-ориентированного подхода необходимо разработать учебные программы и планы, ориентированные на формирование у студентов практических навыков, обеспечить наличие современного оборудования и материалов, разработать качествен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ые практические задачи и кейсы, привлекать специалистов-практиков к проведению занятий и консультаций, организовывать экскурсии на предприятия, использовать информационные технологии, организовывать участие студентов в конкурсах профессионального мастерств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а, организовывать стажировки студентов на предприятиях, использовать виртуальные лаборатории и тренажеры.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ценка эффективности внедрения практико-ориентированного подхода должна проводиться по результатам выполнения лабораторных работ, практических занятий, проектной деятельности, стажировок на предприятиях, по данным мониторинга трудоустройства выпускников,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результатам опросов всех причастных к образовательным отношениям.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Внедрение практико-ориентированного подхода в образовательный процесс позволит повысить качество подготовки специалистов в области энергетики, удовлетворить растущие потребности рынка труда и обеспечить конкурентоспособность выпускников СПО.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СПИСОК ЛИТЕРАТУРЫ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9"/>
        <w:numPr>
          <w:ilvl w:val="0"/>
          <w:numId w:val="17"/>
        </w:numPr>
        <w:contextualSpacing/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Вербицкий, А.А. Компетентностный подход и теория контекстного обучения: Учебное пособие. - М.: ИЦ ПКПС, 2004. - 84 с.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</w:p>
    <w:p>
      <w:pPr>
        <w:pStyle w:val="869"/>
        <w:numPr>
          <w:ilvl w:val="0"/>
          <w:numId w:val="17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Зимняя, И.А. Ключевые компетенции - новая пар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адигма результата образования. Высшее образование сегодня. 2003. № 5. С. 34-42.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</w:p>
    <w:p>
      <w:pPr>
        <w:pStyle w:val="869"/>
        <w:numPr>
          <w:ilvl w:val="0"/>
          <w:numId w:val="17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Ефремова, Н.Ф. Компетенции в образовании: вопросы оценивания. М.: Национальные пр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оекты, 2007. - 224 с.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</w:p>
    <w:p>
      <w:pPr>
        <w:pStyle w:val="869"/>
        <w:numPr>
          <w:ilvl w:val="0"/>
          <w:numId w:val="17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Новые педагогические и информационные технологии в системе образования: Учебное пособие для студентов педагогических вузов и системы повышения квалификации педагогическ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их кадров / Под ред. Е.С. Полат. - М.: Издательский центр .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</w:r>
    </w:p>
    <w:p>
      <w:pPr>
        <w:pStyle w:val="869"/>
        <w:numPr>
          <w:ilvl w:val="0"/>
          <w:numId w:val="17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Практико-ориентированное обучение в вузе: методология и технологии реализации: коллективная монография / под науч. ред.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 С.В. Коршунова. – Томск: Изд-во Томского политехнического университета, 2015. – 236 с.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numPr>
          <w:ilvl w:val="0"/>
          <w:numId w:val="17"/>
        </w:numPr>
        <w:contextualSpacing/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Практико-ориентированный подход в преподавании общеобразовательных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дисциплин в профессиональных образовательных организациях (Основные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положения Концепции 2021 года): методические рекомендации / Министерство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образования и молодежной политики Свердловской области, Государственное автономное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образовательное учреждение дополнительного профессионального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Свердловской области «Институт развития образования», кафедра профессионального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образования; авт.-сост.: Т. А. Корчак. – Екатеринбург: ГАОУ ДПО СО «ИРО», 2021. – 41 с.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afterAutospacing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ПРИЛОЖЕНИЯ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Кейс: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Реконструкция системы электроснабжения производственного цеха с внедрением энергосберегающих технологий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Описание ситуации: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изводственное предприятие базирующегося на изготовлении металлоконструкций для строительной отрасли. Существующая система электроснабжения цеха устарела, характеризуется высоким уровнем энергопотребления, частыми перебоями в электроснабжении и несоответств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современным требованиям безопасности. Руководство предприятия ставит задачу разработать проект реконструкции системы электроснабжения с целью повышения надежности, снижения энергопотребления и обеспечения соответствия нормативным требованиям.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 для студентов: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нализ существующей системы электроснабжения:Провести аудит существующей системы электроснабжения цеха, включая оценку установленной мощности, потребляемой мощности, качества электроэнергии и состояния электрооборудования.Выявить основные источники потерь 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ектроэнергии и причины нестабильной работы системы.Оценить соответствие существующей системы электроснабжения требованиям ПУЭ (Правила устройства электроустановок) и другим нормативным документам. Разработка концепции новой системы электроснабжения:Определ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оптимальную структуру новой системы электроснабжения, учитывая особенности технологического процесса, требования к надежности и безопасности, а также возможности внедрения энергосберегающих технологий.Выбрать электрооборудование (трансформаторы, распред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лительные устройства, кабели, системы освещения и т.д.) с учетом технических характеристик, стоимости и энергоэффективности.Разработать схему электроснабжения цеха, обеспечивающую надежное и безопасное электроснабжение всех потребителей. Внедрение энергосб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регающих технологий:Предложить конкретные мероприятия по снижению энергопотребления в цехе, такие как установка частотно-регулируемых приводов, использование энергоэффективных светильников, внедрение систем автоматического управления освещением и отопление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.Оценить экономическую эффективность предложенных мероприятий, включая расчет срока окупаемости инвестиций. Обеспечение безопасности:Разработать мероприятия по обеспечению электробезопасности в цехе, включая установку защитных устройств, заземление и занул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 электрооборудования, обучение персонала правилам электробезопасности.Оценить риски, связанные с эксплуатацией системы электроснабжения, и разработать меры по их снижению. Разработка проектной документации:Подготовить принципиальную схему электроснабжен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ия, спецификацию оборудования, пояснительную записку с обоснованием принятых решений и расчетами.Оформить проектную документацию в соответствии с требованиями ГОСТ и других нормативных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Ресурсы: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  <w:tab/>
        <w:t xml:space="preserve">Техническая документация на существующую систему электроснабжения цеха.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  <w:tab/>
        <w:t xml:space="preserve">Нормативные документы (ПУЭ, ГОСТ, СП, СНиП).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  <w:tab/>
        <w:t xml:space="preserve">Каталоги электрооборудования.Программное обеспечение для проектирования систем электроснабжения (КОМПАС, NanoCAD, EPLAN и т.д.).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  <w:tab/>
        <w:t xml:space="preserve"> Консультации преподавателей и специалистов предприятия.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Критерии оценки: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9"/>
        <w:numPr>
          <w:ilvl w:val="0"/>
          <w:numId w:val="1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полнота и точность анализа существующей системы электроснабжения;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обоснованность выбора структуры новой системы электроснабжения и электрооборудования;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эффективность предложенных мероприятий по снижению энергопотребления;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обеспечение безопасности системы элект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роснабжения;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качество оформления проектной документации;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5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умение работать в команде и представлять результаты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Ожидаемые результаты: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выполнения кейса студенты должны: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4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приобрести практические навыки анализа и проектирования систем электроснабжения промышленных предприятий;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4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научиться выбирать электрооборудование с учетом технических характеристик, стоимости и энергоэффективности;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4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освоить методы внедрения энергосберегающих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хнологий;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4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углубить знания в области электробезопасности;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4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научиться работать с нормативной документацией и программным обеспечением для проектирования систем электроснабжения;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14"/>
        </w:numPr>
        <w:ind w:left="0" w:right="0" w:firstLine="709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развить навыки командной работы и представления результатов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5"/>
    <w:next w:val="865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No Spacing"/>
    <w:basedOn w:val="865"/>
    <w:uiPriority w:val="1"/>
    <w:qFormat/>
    <w:pPr>
      <w:spacing w:after="0" w:line="240" w:lineRule="auto"/>
    </w:pPr>
  </w:style>
  <w:style w:type="paragraph" w:styleId="869">
    <w:name w:val="List Paragraph"/>
    <w:basedOn w:val="865"/>
    <w:uiPriority w:val="34"/>
    <w:qFormat/>
    <w:pPr>
      <w:contextualSpacing/>
      <w:ind w:left="720"/>
    </w:pPr>
  </w:style>
  <w:style w:type="character" w:styleId="87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multitran.com/m.exe?s=discontinuity&amp;l1=1&amp;l2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a.zanina</cp:lastModifiedBy>
  <cp:revision>5</cp:revision>
  <dcterms:modified xsi:type="dcterms:W3CDTF">2026-04-30T08:01:20Z</dcterms:modified>
</cp:coreProperties>
</file>